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C6" w:rsidRDefault="002F5AC6">
      <w:pPr>
        <w:pStyle w:val="a5"/>
        <w:numPr>
          <w:ilvl w:val="12"/>
          <w:numId w:val="0"/>
        </w:numPr>
        <w:ind w:firstLine="5670"/>
        <w:jc w:val="right"/>
      </w:pPr>
      <w:r>
        <w:t>Приложение 5</w:t>
      </w:r>
    </w:p>
    <w:p w:rsidR="002F5AC6" w:rsidRDefault="002F5AC6">
      <w:pPr>
        <w:pStyle w:val="a5"/>
        <w:numPr>
          <w:ilvl w:val="12"/>
          <w:numId w:val="0"/>
        </w:numPr>
        <w:jc w:val="center"/>
        <w:rPr>
          <w:b/>
          <w:bCs/>
        </w:rPr>
      </w:pPr>
    </w:p>
    <w:p w:rsidR="002F5AC6" w:rsidRDefault="002F5AC6">
      <w:pPr>
        <w:pStyle w:val="a5"/>
        <w:numPr>
          <w:ilvl w:val="12"/>
          <w:numId w:val="0"/>
        </w:numPr>
        <w:jc w:val="center"/>
        <w:rPr>
          <w:b/>
          <w:bCs/>
        </w:rPr>
      </w:pPr>
    </w:p>
    <w:p w:rsidR="002F5AC6" w:rsidRDefault="002F5AC6">
      <w:pPr>
        <w:pStyle w:val="a5"/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РЕКОМЕНДАЦИИ ПО ЗАПОЛНЕНИЮ ТАБЛИЦ ИСХОДНЫХ ДАННЫХ</w:t>
      </w:r>
    </w:p>
    <w:p w:rsidR="002F5AC6" w:rsidRDefault="002F5AC6">
      <w:pPr>
        <w:pStyle w:val="a5"/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ДЛЯ ФИНАНСОВОГО АНАЛИЗА ИНВЕСТИЦИОННОГО ПРОЕКТА</w:t>
      </w:r>
    </w:p>
    <w:p w:rsidR="002F5AC6" w:rsidRDefault="002F5AC6">
      <w:pPr>
        <w:pStyle w:val="a5"/>
        <w:numPr>
          <w:ilvl w:val="12"/>
          <w:numId w:val="0"/>
        </w:numPr>
        <w:jc w:val="center"/>
      </w:pP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b/>
          <w:bCs/>
        </w:rPr>
        <w:t>Таблица 1.  ОБЩИЕ ДАННЫЕ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u w:val="single"/>
        </w:rPr>
        <w:t>Срок жизни проекта</w:t>
      </w:r>
      <w:r>
        <w:t>, в общем случае определяется как длительность периода вложения средств плюс длительность того промежутка времени, в течение которого вложения приносят ощутимый эффект. Этот период времени может б</w:t>
      </w:r>
      <w:bookmarkStart w:id="0" w:name="_GoBack"/>
      <w:bookmarkEnd w:id="0"/>
      <w:r>
        <w:t xml:space="preserve">ыть в частности обусловлен физическим сроком эксплуатации оборудования, сроком полной амортизации и т. п. Если проект находится в стадии реализации (часть инвестиций уже осуществлена), то при указании срока жизни проекта длительность периода осуществлённых вложений не учитывается. 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u w:val="single"/>
        </w:rPr>
        <w:t>Длительность инвестиционной фазы проекта</w:t>
      </w:r>
      <w:r>
        <w:t xml:space="preserve"> - период времени, в течение которого вкладываются средства</w:t>
      </w:r>
      <w:r>
        <w:rPr>
          <w:rStyle w:val="a6"/>
        </w:rPr>
        <w:footnoteReference w:id="1"/>
      </w:r>
      <w:r>
        <w:t xml:space="preserve"> во внеоборотные активы (основные средства).  Если проект находится в стадии реализации, то при указании длительности инвестиционной фазы учитывается только период завершения работ.   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u w:val="single"/>
        </w:rPr>
        <w:t>Общая стоимость проекта</w:t>
      </w:r>
      <w:r>
        <w:t xml:space="preserve"> - сумма вложений в основные средства плюс финансирование прироста потребности в оборотном капитале. Вложения в основные средства включают в себя капитальное строительство и приобретение оборудования. Стоимость основных средств, указываемая в данной таблице должна соответствовать суммам, отражаемым в соответствующих разделах баланса (так, как эти статьи расходов будут отражены в балансе).  Потребность в оборотном капитале определяется как оборотные активы минус денежные средства минус кредиторская задолженность. Прирост потребности в оборотном капитале, в общем случае, определяется как изменение этого показателя, рассчитанного по начальному балансу и прогнозному балансу на момент выхода предприятия на проектную мощность. Заёмщик должен оценить объём оборотных средств, необходимый для того, чтобы освоить выпуск новой продукции, увеличить существующие производственные мощности. 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u w:val="single"/>
        </w:rPr>
        <w:t>Сумма испрашиваемого кредита</w:t>
      </w:r>
      <w:r>
        <w:t xml:space="preserve"> указывается без учёта капитализации процентов. В примечании к данной таблице может быть отмечен срок, в течение которого предлагается капитализировать проценты.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u w:val="single"/>
        </w:rPr>
        <w:t>Длительность периода действия кредитного договора</w:t>
      </w:r>
      <w:r>
        <w:t xml:space="preserve"> считается от даты первого использования до планируемой даты полного погашения кредита.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Таблица 2.  НАЛОГОВОЕ ОКРУЖЕНИЕ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t>Таблица предназначена для описания основных налогов, уплачиваемых предприятием, осуществляющим инвестиционный проект.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t xml:space="preserve">Как правило, ставка налогов указывается в процентном исчислении. Для некоторых налогов, </w:t>
      </w:r>
      <w:proofErr w:type="gramStart"/>
      <w:r>
        <w:t>например  для</w:t>
      </w:r>
      <w:proofErr w:type="gramEnd"/>
      <w:r>
        <w:t xml:space="preserve"> транспортного налога, ставка может указываться в денежном исчислении (в твёрдой  сумме). Сумма налога, подлежащая уплате за налоговый период, исчисляется исходя из налоговой базы, налоговой ставки и налоговых льгот. 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rPr>
          <w:b/>
          <w:bCs/>
        </w:rPr>
        <w:t>Таблица 3. НОМЕНКЛАТУРА ВЫПУСКАЕМОЙ ПРОДУКЦИИ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Таблица предназначена для описания номенклатуры продукции, выпуск которой предполагается освоить в результате реализации данного инвестиционного проекта. 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6" w:firstLine="567"/>
        <w:jc w:val="both"/>
      </w:pPr>
      <w:r>
        <w:t>В случае, если перечень видов выпускаемой по проекту продукции чрезмерно велик предлагается агрегировать сходные виды продукции таким, образом, чтобы их общее число не превысило ~ 10-15 элементов. При этом суммарный объём производства элемента агрегированной по сходным статьям номенклатуры определяется по очевидной формуле</w:t>
      </w:r>
      <w:proofErr w:type="gramStart"/>
      <w:r>
        <w:t xml:space="preserve">: </w:t>
      </w:r>
      <w:r w:rsidR="00B176AD">
        <w:rPr>
          <w:position w:val="-14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9.95pt" o:ole="" fillcolor="window">
            <v:imagedata r:id="rId7" o:title=""/>
          </v:shape>
          <o:OLEObject Type="Embed" ProgID="Equation.3" ShapeID="_x0000_i1025" DrawAspect="Content" ObjectID="_1693296087" r:id="rId8"/>
        </w:object>
      </w:r>
      <w:r>
        <w:t>.</w:t>
      </w:r>
      <w:proofErr w:type="gramEnd"/>
      <w:r>
        <w:t xml:space="preserve"> А его цена по формуле “среднего взвешенного”: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                 </w:t>
      </w:r>
      <w:proofErr w:type="spellStart"/>
      <w:r>
        <w:t>Ц</w:t>
      </w:r>
      <w:r>
        <w:rPr>
          <w:vertAlign w:val="subscript"/>
        </w:rPr>
        <w:t>с</w:t>
      </w:r>
      <w:proofErr w:type="spellEnd"/>
      <w:r>
        <w:rPr>
          <w:vertAlign w:val="subscript"/>
        </w:rPr>
        <w:t xml:space="preserve"> </w:t>
      </w:r>
      <w:proofErr w:type="gramStart"/>
      <w:r>
        <w:t>=</w:t>
      </w:r>
      <w:r w:rsidR="00B176AD">
        <w:rPr>
          <w:position w:val="-32"/>
        </w:rPr>
        <w:object w:dxaOrig="1359" w:dyaOrig="760">
          <v:shape id="_x0000_i1026" type="#_x0000_t75" style="width:63.45pt;height:34.95pt" o:ole="" fillcolor="window">
            <v:imagedata r:id="rId9" o:title=""/>
          </v:shape>
          <o:OLEObject Type="Embed" ProgID="Equation.3" ShapeID="_x0000_i1026" DrawAspect="Content" ObjectID="_1693296088" r:id="rId10"/>
        </w:object>
      </w:r>
      <w:r>
        <w:t xml:space="preserve"> ,</w:t>
      </w:r>
      <w:proofErr w:type="gramEnd"/>
      <w:r>
        <w:t xml:space="preserve"> n - номер агрегируемого вида продукции, </w:t>
      </w:r>
      <w:proofErr w:type="spellStart"/>
      <w:r>
        <w:t>Оn</w:t>
      </w:r>
      <w:proofErr w:type="spellEnd"/>
      <w:r>
        <w:t xml:space="preserve"> - объём производства элемента n, </w:t>
      </w:r>
      <w:proofErr w:type="spellStart"/>
      <w:r>
        <w:t>Цn</w:t>
      </w:r>
      <w:proofErr w:type="spellEnd"/>
      <w:r>
        <w:t xml:space="preserve"> - его цена.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proofErr w:type="gramStart"/>
      <w:r>
        <w:t>Например</w:t>
      </w:r>
      <w:proofErr w:type="gramEnd"/>
      <w:r>
        <w:t>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327"/>
        <w:gridCol w:w="1179"/>
        <w:gridCol w:w="2396"/>
        <w:gridCol w:w="1289"/>
        <w:gridCol w:w="1179"/>
      </w:tblGrid>
      <w:tr w:rsidR="002F5AC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lastRenderedPageBreak/>
              <w:t>Полная номенклатура</w:t>
            </w:r>
          </w:p>
        </w:tc>
        <w:tc>
          <w:tcPr>
            <w:tcW w:w="1327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 xml:space="preserve">Объём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:rsidR="002F5AC6" w:rsidRDefault="002F5AC6">
            <w:pPr>
              <w:pStyle w:val="a5"/>
              <w:numPr>
                <w:ilvl w:val="12"/>
                <w:numId w:val="0"/>
              </w:numPr>
              <w:ind w:right="-212"/>
              <w:jc w:val="both"/>
            </w:pPr>
          </w:p>
          <w:p w:rsidR="002F5AC6" w:rsidRDefault="002F5AC6">
            <w:pPr>
              <w:pStyle w:val="a5"/>
              <w:numPr>
                <w:ilvl w:val="12"/>
                <w:numId w:val="0"/>
              </w:numPr>
              <w:ind w:right="-212"/>
              <w:jc w:val="both"/>
            </w:pPr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>, тонн.</w:t>
            </w:r>
          </w:p>
        </w:tc>
        <w:tc>
          <w:tcPr>
            <w:tcW w:w="1179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Цена за тонну.</w:t>
            </w:r>
          </w:p>
        </w:tc>
        <w:tc>
          <w:tcPr>
            <w:tcW w:w="2396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Агрегированная по сходным статьям номенклатура</w:t>
            </w:r>
          </w:p>
        </w:tc>
        <w:tc>
          <w:tcPr>
            <w:tcW w:w="1289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 xml:space="preserve">Объём </w:t>
            </w:r>
            <w:proofErr w:type="spellStart"/>
            <w:r>
              <w:t>производ</w:t>
            </w:r>
            <w:proofErr w:type="spellEnd"/>
            <w:r>
              <w:t>-</w:t>
            </w:r>
          </w:p>
          <w:p w:rsidR="002F5AC6" w:rsidRDefault="002F5AC6">
            <w:pPr>
              <w:pStyle w:val="a5"/>
              <w:numPr>
                <w:ilvl w:val="12"/>
                <w:numId w:val="0"/>
              </w:numPr>
              <w:ind w:right="-212"/>
              <w:jc w:val="both"/>
            </w:pPr>
          </w:p>
          <w:p w:rsidR="002F5AC6" w:rsidRDefault="002F5AC6">
            <w:pPr>
              <w:pStyle w:val="a5"/>
              <w:numPr>
                <w:ilvl w:val="12"/>
                <w:numId w:val="0"/>
              </w:numPr>
              <w:ind w:right="-212"/>
              <w:jc w:val="both"/>
            </w:pPr>
            <w:r>
              <w:t xml:space="preserve"> </w:t>
            </w:r>
            <w:proofErr w:type="spellStart"/>
            <w:r>
              <w:t>ства</w:t>
            </w:r>
            <w:proofErr w:type="spellEnd"/>
            <w:r>
              <w:t>, тонн.</w:t>
            </w:r>
          </w:p>
        </w:tc>
        <w:tc>
          <w:tcPr>
            <w:tcW w:w="1179" w:type="dxa"/>
            <w:tcBorders>
              <w:top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Цена за тонну.</w:t>
            </w:r>
          </w:p>
        </w:tc>
      </w:tr>
      <w:tr w:rsidR="002F5AC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proofErr w:type="gramStart"/>
            <w:r>
              <w:t xml:space="preserve">Труба </w:t>
            </w:r>
            <w:r>
              <w:sym w:font="Symbol" w:char="F0C6"/>
            </w:r>
            <w:r>
              <w:t xml:space="preserve"> 40</w:t>
            </w:r>
            <w:proofErr w:type="gramEnd"/>
          </w:p>
        </w:tc>
        <w:tc>
          <w:tcPr>
            <w:tcW w:w="1327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200</w:t>
            </w:r>
          </w:p>
        </w:tc>
        <w:tc>
          <w:tcPr>
            <w:tcW w:w="1179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240</w:t>
            </w:r>
          </w:p>
        </w:tc>
        <w:tc>
          <w:tcPr>
            <w:tcW w:w="2396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Трубы</w:t>
            </w:r>
          </w:p>
        </w:tc>
        <w:tc>
          <w:tcPr>
            <w:tcW w:w="1289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800</w:t>
            </w:r>
          </w:p>
        </w:tc>
        <w:tc>
          <w:tcPr>
            <w:tcW w:w="1179" w:type="dxa"/>
            <w:tcBorders>
              <w:top w:val="nil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200</w:t>
            </w:r>
          </w:p>
        </w:tc>
      </w:tr>
      <w:tr w:rsidR="002F5AC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proofErr w:type="gramStart"/>
            <w:r>
              <w:t xml:space="preserve">Труба </w:t>
            </w:r>
            <w:r>
              <w:sym w:font="Symbol" w:char="F0C6"/>
            </w:r>
            <w:r>
              <w:t xml:space="preserve"> 80</w:t>
            </w:r>
            <w:proofErr w:type="gramEnd"/>
          </w:p>
        </w:tc>
        <w:tc>
          <w:tcPr>
            <w:tcW w:w="1327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100</w:t>
            </w:r>
          </w:p>
        </w:tc>
        <w:tc>
          <w:tcPr>
            <w:tcW w:w="117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200</w:t>
            </w:r>
          </w:p>
        </w:tc>
        <w:tc>
          <w:tcPr>
            <w:tcW w:w="2396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Швеллер</w:t>
            </w:r>
          </w:p>
        </w:tc>
        <w:tc>
          <w:tcPr>
            <w:tcW w:w="128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100</w:t>
            </w:r>
          </w:p>
        </w:tc>
        <w:tc>
          <w:tcPr>
            <w:tcW w:w="117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110</w:t>
            </w:r>
          </w:p>
        </w:tc>
      </w:tr>
      <w:tr w:rsidR="002F5AC6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proofErr w:type="gramStart"/>
            <w:r>
              <w:t xml:space="preserve">Труба </w:t>
            </w:r>
            <w:r>
              <w:sym w:font="Symbol" w:char="F0C6"/>
            </w:r>
            <w:r>
              <w:t xml:space="preserve"> 100</w:t>
            </w:r>
            <w:proofErr w:type="gramEnd"/>
          </w:p>
        </w:tc>
        <w:tc>
          <w:tcPr>
            <w:tcW w:w="1327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500</w:t>
            </w:r>
          </w:p>
        </w:tc>
        <w:tc>
          <w:tcPr>
            <w:tcW w:w="117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180</w:t>
            </w:r>
          </w:p>
        </w:tc>
        <w:tc>
          <w:tcPr>
            <w:tcW w:w="2396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  <w:tc>
          <w:tcPr>
            <w:tcW w:w="128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  <w:tc>
          <w:tcPr>
            <w:tcW w:w="1179" w:type="dxa"/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</w:tr>
      <w:tr w:rsidR="002F5AC6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 xml:space="preserve">Швеллер 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100</w:t>
            </w:r>
          </w:p>
        </w:tc>
        <w:tc>
          <w:tcPr>
            <w:tcW w:w="1179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  <w:r>
              <w:t>110</w:t>
            </w:r>
          </w:p>
        </w:tc>
        <w:tc>
          <w:tcPr>
            <w:tcW w:w="2396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  <w:tc>
          <w:tcPr>
            <w:tcW w:w="1289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  <w:tc>
          <w:tcPr>
            <w:tcW w:w="1179" w:type="dxa"/>
            <w:tcBorders>
              <w:bottom w:val="single" w:sz="12" w:space="0" w:color="000000"/>
            </w:tcBorders>
          </w:tcPr>
          <w:p w:rsidR="002F5AC6" w:rsidRDefault="002F5AC6">
            <w:pPr>
              <w:pStyle w:val="a5"/>
              <w:numPr>
                <w:ilvl w:val="12"/>
                <w:numId w:val="0"/>
              </w:numPr>
              <w:jc w:val="both"/>
            </w:pPr>
          </w:p>
        </w:tc>
      </w:tr>
    </w:tbl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Годовая проектная мощность производства задаётся в натуральных единицах измерения</w:t>
      </w:r>
      <w:r>
        <w:rPr>
          <w:rStyle w:val="a6"/>
        </w:rPr>
        <w:footnoteReference w:id="2"/>
      </w:r>
      <w:r>
        <w:t xml:space="preserve"> на период выхода предприятия на 100% мощность.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Цена единицы продукции очищается от акциза и НДС либо таможенной пошлины. Последние могут указываться как в процентах к цене, так и в денежном выражении в расчёте на единицу продукции.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rPr>
          <w:b/>
          <w:bCs/>
        </w:rPr>
        <w:t>Таблица 4. ПЛАН ПРОИЗВОДСТВА ПРОДУКЦИИ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Предоставляется план производства по интервалам планирования (кварталам) для каждого из указанных в таблице 3 вида продукции.  Удобно задавать объём производства в процентах освоения проектной мощности производства. Допускается использовать также единицы измерения объёма произведённой продукции, указанные в таблице 3.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Сезонные изменения объёма производства задаются путём варьирования уровня освоения проектной мощности (объёма произведённой продукции, выраженного в натуральных единицах измерения) по интервалам планирования. В этом случае следует дополнить данную табличную форму необходимыми текстовыми комментариями.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По умолчанию предполагается, что объём производства в данном интервале планирования соответствует объёму продаж. Если в данном инвестиционном проекте это не так, то необходимо снабдить эту таблицу соответствующими пояснениями.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rPr>
          <w:b/>
          <w:bCs/>
        </w:rPr>
        <w:t>Таблица 5 ОБЪЁМ РАСХОДОВАНИЯ МАТЕРИАЛЬНЫХ РЕСУРСОВ НА ПРОИЗВОДСТВО ЕДИНИЦЫ ПРОДУКЦИИ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Данные этой таблицы используются для расчёта прямых материальных затрат на производство единицы продукции. Под прямыми материальными затратами понимаются затраты, связанные с расходованием материальных ресурсов величина которых прямо пропорциональна объёму производства.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В строках указывается перечень составляющих прямых материальных затрат (виды сырья, использованные материалы, комплектующие, полуфабрикаты, малоценные и быстроизнашивающиеся предметы, топливо, энергия, и т. п.) с указанием единицы измерения. В столбцах вводится наименование вида продукции и единицы измерения (в соответствие с таблицей 3), на которую происходит расчёт компонентов прямых затрат.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В этой же таблице приводятся цены приобретения материальных ресурсов (без НДС) в расчётных денежных единицах за единицу измерения ресурса.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В таблицу вносятся данные о расходе материальных ресурсов в натуральных единицах измерения по каждому виду производимой продукции. Данные в строке </w:t>
      </w:r>
      <w:r>
        <w:rPr>
          <w:i/>
          <w:iCs/>
        </w:rPr>
        <w:t>“</w:t>
      </w:r>
      <w:r>
        <w:rPr>
          <w:i/>
          <w:iCs/>
          <w:color w:val="000000"/>
        </w:rPr>
        <w:t>Итого стоимость материальных ресурсов на единицу производимой продукции (</w:t>
      </w:r>
      <w:proofErr w:type="spellStart"/>
      <w:r>
        <w:rPr>
          <w:i/>
          <w:iCs/>
          <w:color w:val="000000"/>
        </w:rPr>
        <w:t>ден</w:t>
      </w:r>
      <w:proofErr w:type="spellEnd"/>
      <w:r>
        <w:rPr>
          <w:i/>
          <w:iCs/>
          <w:color w:val="000000"/>
        </w:rPr>
        <w:t xml:space="preserve">. ед./ ед. изм.)” </w:t>
      </w:r>
      <w:r>
        <w:rPr>
          <w:color w:val="000000"/>
        </w:rPr>
        <w:t>рассчитываются на основании суммы произведений величин расхода компонентов материальных затрат на соответствующие цены.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Изначально таблица содержит шесть видов продукции. При необходимости её следует расширить по количеству видов производимой продукции.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rPr>
          <w:b/>
          <w:bCs/>
        </w:rPr>
        <w:t>Таблица 6. ЧИСЛЕННОСТЬ И ЗАРАБОТНАЯ ПЛАТА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  <w:rPr>
          <w:rStyle w:val="a8"/>
        </w:rPr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Все расходы, связанные с оплатой труда, вне зависимости от учётной практики </w:t>
      </w:r>
      <w:proofErr w:type="gramStart"/>
      <w:r>
        <w:t>предприятия</w:t>
      </w:r>
      <w:r>
        <w:rPr>
          <w:vertAlign w:val="superscript"/>
        </w:rPr>
        <w:footnoteReference w:id="3"/>
      </w:r>
      <w:r>
        <w:t xml:space="preserve">,   </w:t>
      </w:r>
      <w:proofErr w:type="gramEnd"/>
      <w:r>
        <w:t>описываются в данной таблице. В эти расходы включаются: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начисленная зарплата заработная плата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выплаты стимулирующего характера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премии за производственные результаты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надбавки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выплаты к окладам и тарифным ставкам за профессиональное мастерство компенсирующего характера, связанные с режимом работы и условиями труда и т. п.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lastRenderedPageBreak/>
        <w:t xml:space="preserve">Единый социальный налог, а также налоги, начисляемые с фонда оплаты труда в данной таблице не учитываются.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Для удобства представления данных все расходы на оплату труда делятся на ряд категорий. Это деление условно и может быть изменено в соответствие со спецификой данного проекта. Допускается также сокращать перечень категорий персонала в случае, если, с учётом уровня проработки проекта, такого рода детализация расходов не имеет особого смысла.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Расходы на содержание той или иной категории персонала можно рассчитать исходя из средней заработной платы одного работника и численности работающих. Если по проекту не предполагается изменение уровня оплаты труда одного работника (средней численности), то допускается вводить данные один раз (в первом квартале либо в начале эксплуатационной фазы проекта) с пометкой о том, что далее эти величины останутся неизменны. В тех случаях, когда представить данные через указание расходов на оплату труда одного работника и численность сотрудников не представляется возможным, рекомендуется воспользоваться строкой</w:t>
      </w:r>
      <w:r>
        <w:rPr>
          <w:i/>
          <w:iCs/>
        </w:rPr>
        <w:t xml:space="preserve"> расходы на содержание данной категории персонала всего</w:t>
      </w:r>
      <w:r>
        <w:rPr>
          <w:rStyle w:val="a6"/>
          <w:i/>
          <w:iCs/>
        </w:rPr>
        <w:footnoteReference w:id="4"/>
      </w:r>
      <w:r>
        <w:t xml:space="preserve">. 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rPr>
          <w:b/>
          <w:bCs/>
        </w:rPr>
        <w:t>Таблица 7. НАКЛАДНЫЕ РАСХОДЫ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8" w:firstLine="567"/>
        <w:jc w:val="both"/>
      </w:pPr>
      <w:r>
        <w:t xml:space="preserve">Помимо прямых материальных затрат и расходов на оплату труда в себестоимость включаются также накладные расходы. Накладные расходы, есть расходы, непосредственно не связанные с расходованием материальных ресурсов на выпуск продукции, которые предприятие должно понести для того, чтобы обеспечить нормальное функционирование производства и сбыт. 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8" w:firstLine="567"/>
        <w:jc w:val="both"/>
      </w:pPr>
      <w:r>
        <w:t xml:space="preserve">В данную таблицу </w:t>
      </w:r>
      <w:r>
        <w:rPr>
          <w:u w:val="single"/>
        </w:rPr>
        <w:t>не следует</w:t>
      </w:r>
      <w:r>
        <w:t xml:space="preserve"> включать следующие виды расходов: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амортизационные отчисления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налоги и сборы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проценты, включаемые в себестоимость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расходы на оплату труда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9214"/>
        </w:tabs>
        <w:ind w:left="1418" w:right="-6" w:hanging="284"/>
        <w:jc w:val="both"/>
      </w:pPr>
      <w:r>
        <w:t>лизинговые платежи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8" w:firstLine="567"/>
        <w:jc w:val="both"/>
      </w:pPr>
      <w:r>
        <w:t xml:space="preserve">Накладные расходы могут быть условно </w:t>
      </w:r>
      <w:proofErr w:type="gramStart"/>
      <w:r>
        <w:t>постоянными  (</w:t>
      </w:r>
      <w:proofErr w:type="gramEnd"/>
      <w:r>
        <w:t>т.е. не зависящими от объёма производства) или условно переменными (т.е. зависящими от объёма производства). Возможна также зависимость накладных расходов от какой-либо другой задаваемой в проекте величины: выручки, стоимости потребляемых ресурсов, заработной платы, стоимости оборудования и т.п. Если такая зависимость имеет место, то данную статью накладных расходов следует описывать через норму (%) и базу исчисления величины расходов</w:t>
      </w:r>
      <w:r>
        <w:rPr>
          <w:rStyle w:val="a6"/>
        </w:rPr>
        <w:footnoteReference w:id="5"/>
      </w:r>
      <w:r>
        <w:t>. Условно-постоянные накладные расходы задаются суммой затрат (расчётных денежных единиц) в год.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Для удобства представления данных накладные расходы условно разбиты на ряд категорий: общехозяйственные, административные, сбытовые и прочие расходы. Внутри каждой категории следует выделить </w:t>
      </w:r>
      <w:proofErr w:type="gramStart"/>
      <w:r>
        <w:t>постоянную  и</w:t>
      </w:r>
      <w:proofErr w:type="gramEnd"/>
      <w:r>
        <w:t xml:space="preserve"> переменную части накладных расходов. При необходимости в таблицу следует вставить дополнительные строки (в соответствии со степенью подробности представления исходных данных).</w:t>
      </w:r>
    </w:p>
    <w:p w:rsidR="002F5AC6" w:rsidRDefault="002F5AC6">
      <w:pPr>
        <w:pStyle w:val="a5"/>
        <w:numPr>
          <w:ilvl w:val="12"/>
          <w:numId w:val="0"/>
        </w:numPr>
        <w:spacing w:before="120"/>
        <w:ind w:firstLine="567"/>
        <w:jc w:val="both"/>
      </w:pPr>
      <w:r>
        <w:t>Общехозяйственные расходы, по уровню отнесения, можно разделить на цеховые (уровень цеха) и общезаводские расходы (уровень предприятия в целом).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spacing w:before="60"/>
        <w:ind w:left="567" w:right="-6" w:hanging="567"/>
        <w:jc w:val="both"/>
      </w:pPr>
      <w:r>
        <w:t>Цеховые расходы включает в себя: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по эксплуатации оборудования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текущий ремонт оборудования и транспортных средств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 xml:space="preserve">затраты по обеспечению нормальных условий труда производственного персонала </w:t>
      </w:r>
    </w:p>
    <w:p w:rsidR="002F5AC6" w:rsidRDefault="002F5AC6">
      <w:pPr>
        <w:pStyle w:val="a5"/>
        <w:numPr>
          <w:ilvl w:val="12"/>
          <w:numId w:val="0"/>
        </w:numPr>
        <w:spacing w:before="60"/>
        <w:ind w:left="567" w:right="-6"/>
        <w:jc w:val="both"/>
      </w:pPr>
      <w:r>
        <w:t>Общезаводские расходы включает в себя: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содержание и ремонт зданий и сооружений производственного назначения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вспомогательные материалы и т.п.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внутризаводские транспортные затраты, связанные с производственными процессами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охрану окружающей среды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переработку, утилизацию и удаление отходов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аренду объектов основных производственных фондов (подтверждаются договорами аренды, которые должны быть приложены к исходным данным).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охрану труда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текущую подготовку и переподготовку кадров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проведение испытаний, опытов, исследований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содержание общезаводских лабораторий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lastRenderedPageBreak/>
        <w:t>затраты на изобретательство и рационализацию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оплата работ по сертификации продукции и т.п.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spacing w:before="120"/>
        <w:ind w:firstLine="567"/>
        <w:jc w:val="both"/>
      </w:pPr>
      <w:r>
        <w:t>К административным накладным расходам относится: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страхование собственности (имущества)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аренда земли (договоры аренды должны быть приложены к исходным данным)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содержание обеспечивающих служб и подразделений (без затрат на оплату труда)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содержание административных зданий (отопление, освещение, канализация, водоснабжение, вентиляция, поддержание чистоты и т.д.)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оплата лицензий на право деятельности. Разовые сборы описываются отдельно в примечаниях к данной таблице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социально-бытовые нужды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командировочные затраты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представительские затраты и т.д.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spacing w:before="120"/>
        <w:ind w:firstLine="567"/>
        <w:jc w:val="both"/>
      </w:pPr>
      <w:r>
        <w:t>К сбытовым расходам относится: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транспортные затраты (без внутризаводских)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тара и упаковочные материалы (имеется в виду технологическая тара, предназначенная для упаковки, подноски и хранения материалов и готовых изделий. Тара, отпускаемая покупателю вместе с готовой продукцией может быть включена в прямые материальные затраты.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 xml:space="preserve">комиссионные сборы, включая отчисления сбытовым организациям 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гарантийный ремонт и обслуживание</w:t>
      </w:r>
    </w:p>
    <w:p w:rsidR="002F5AC6" w:rsidRDefault="002F5AC6" w:rsidP="007E3BC9">
      <w:pPr>
        <w:pStyle w:val="a5"/>
        <w:numPr>
          <w:ilvl w:val="0"/>
          <w:numId w:val="1"/>
        </w:numPr>
        <w:tabs>
          <w:tab w:val="left" w:pos="6379"/>
          <w:tab w:val="right" w:leader="dot" w:pos="8364"/>
        </w:tabs>
        <w:ind w:left="1418" w:right="-8"/>
      </w:pPr>
      <w:r>
        <w:t>затраты на рекламу и маркетинг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  <w:r>
        <w:rPr>
          <w:b/>
          <w:bCs/>
        </w:rPr>
        <w:t>Таблица 8. ПОТРЕБНОСТЬ В ОБОРОТНОМ КАПИТАЛЕ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Данная табличная форма предназначена для сбора информации, необходимой для оценки потребности в оборотном капитале, обеспечивающем нормаль</w:t>
      </w:r>
      <w:r>
        <w:softHyphen/>
        <w:t xml:space="preserve">ное функционирование данного инвестиционного проекта. Потребность в оборотном капитале формируется исходя из оценки потребности в нормируемых текущих активах, которые частично могут быть профинансированы за счёт нормируемых текущих пассивов. 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Статьи, участвующие в расчёте потребности в оборотном капитале, называются нормируемыми потому, что их оценка, как </w:t>
      </w:r>
      <w:proofErr w:type="gramStart"/>
      <w:r>
        <w:t>правило,  осуществляется</w:t>
      </w:r>
      <w:proofErr w:type="gramEnd"/>
      <w:r>
        <w:t xml:space="preserve"> на основании задания норм оборота (обычно в днях). При невозможности нормировать потребность в оборотном капитале через задание норм оборота допускается указывать необходимые значения в стоимостном выражении. 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К статьям нормируемых текущих активов относятся:</w:t>
      </w:r>
    </w:p>
    <w:p w:rsidR="002F5AC6" w:rsidRDefault="002F5AC6" w:rsidP="001E6308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  <w:jc w:val="both"/>
      </w:pPr>
      <w:r>
        <w:t xml:space="preserve"> запасы сырья и материалов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В днях нормируется страховой запас (продолжительность работы предприятия в случае непредвиденной задержки в поставках материалов) и период поставки (средняя периодичность поставки комплектующих, сырья и материалов). Нормирование может детализироваться по видам потребляемого сырья, материалов и пр. 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  <w:jc w:val="both"/>
      </w:pPr>
      <w:r>
        <w:t xml:space="preserve"> незавершённое производство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Нормируется средняя продолжительность цикла производства. Нормирование может детализироваться по видам производимой продукции.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</w:pPr>
      <w:r>
        <w:t xml:space="preserve"> готовая продукция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Нормируется страховой запас (на сколько дней предприятия на складе всегда есть запас готовой продукции для покрытия колебаний спроса) и период отгрузки (средняя периодичность отгрузки продукции покупателям со склада предприятия). Нормирование может детализироваться по видам выпускаемой продукции. 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</w:pPr>
      <w:r>
        <w:t xml:space="preserve"> счета к получению (дебиторская задолженность)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6" w:firstLine="567"/>
        <w:jc w:val="both"/>
      </w:pPr>
      <w:r>
        <w:t>Нормируется средняя отсрочка платежа (в днях) за поставленную покупателям продукцию. При различных условиях оплаты продукции определяется по формуле “среднего взвешенного”: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                 </w:t>
      </w:r>
      <w:proofErr w:type="spellStart"/>
      <w:r>
        <w:t>Д</w:t>
      </w:r>
      <w:r>
        <w:rPr>
          <w:vertAlign w:val="subscript"/>
        </w:rPr>
        <w:t>с</w:t>
      </w:r>
      <w:proofErr w:type="spellEnd"/>
      <w:r>
        <w:rPr>
          <w:vertAlign w:val="subscript"/>
        </w:rPr>
        <w:t xml:space="preserve"> </w:t>
      </w:r>
      <w:proofErr w:type="gramStart"/>
      <w:r>
        <w:t>=</w:t>
      </w:r>
      <w:r w:rsidR="00B176AD">
        <w:rPr>
          <w:position w:val="-34"/>
        </w:rPr>
        <w:object w:dxaOrig="1300" w:dyaOrig="780">
          <v:shape id="_x0000_i1027" type="#_x0000_t75" style="width:54.9pt;height:35.65pt" o:ole="" fillcolor="window">
            <v:imagedata r:id="rId11" o:title=""/>
          </v:shape>
          <o:OLEObject Type="Embed" ProgID="Equation.3" ShapeID="_x0000_i1027" DrawAspect="Content" ObjectID="_1693296089" r:id="rId12"/>
        </w:object>
      </w:r>
      <w:r>
        <w:t xml:space="preserve"> ,</w:t>
      </w:r>
      <w:proofErr w:type="gramEnd"/>
      <w:r>
        <w:t xml:space="preserve"> </w:t>
      </w:r>
      <w:proofErr w:type="spellStart"/>
      <w:r>
        <w:t>Дn</w:t>
      </w:r>
      <w:proofErr w:type="spellEnd"/>
      <w:r>
        <w:t xml:space="preserve"> - отсрочка платежа по части продукции n (если предоплата, то </w:t>
      </w:r>
      <w:proofErr w:type="spellStart"/>
      <w:r>
        <w:t>Дn</w:t>
      </w:r>
      <w:proofErr w:type="spellEnd"/>
      <w:r>
        <w:t xml:space="preserve">=0), </w:t>
      </w:r>
      <w:proofErr w:type="spellStart"/>
      <w:r>
        <w:t>Вn</w:t>
      </w:r>
      <w:proofErr w:type="spellEnd"/>
      <w:r>
        <w:t xml:space="preserve"> - выручка, приходящаяся на эту часть.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</w:pPr>
      <w:r>
        <w:t xml:space="preserve"> резерв денежных средств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  <w:r>
        <w:t xml:space="preserve">Предназначен для покрытия потребности в текущих платежах (оплата труда и накладные расходы). Нормируется продолжительность периода работы предприятия (в днях), в течение которого, </w:t>
      </w:r>
      <w:proofErr w:type="gramStart"/>
      <w:r>
        <w:t>при отсутствие</w:t>
      </w:r>
      <w:proofErr w:type="gramEnd"/>
      <w:r>
        <w:t xml:space="preserve"> поступлений, необходимо иметь средства на эти цели.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</w:pPr>
      <w:r>
        <w:t xml:space="preserve"> прочие текущие активы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lastRenderedPageBreak/>
        <w:t>Сюда относятся статьи текущих активов, не нашедшие отражения выше. Описываются произвольным образом, сопровождаются подробными комментариями к данной таблице.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spacing w:before="120"/>
        <w:ind w:right="-6" w:firstLine="567"/>
        <w:jc w:val="both"/>
      </w:pPr>
      <w:r>
        <w:t>К статьям нормируемых текущих пассивов относятся: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</w:pPr>
      <w:r>
        <w:t xml:space="preserve"> счета к оплате (кредиторская задолженность)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9214"/>
        </w:tabs>
        <w:ind w:right="-6" w:firstLine="567"/>
        <w:jc w:val="both"/>
      </w:pPr>
      <w:r>
        <w:t>Нормируется средняя отсрочка платежа (в днях) за полученные от поставщиков сырьё, материалы, комплектующие и т.п. При различных условиях расчётов с поставщиками определяется по формуле “среднего взвешенного”: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                 К</w:t>
      </w:r>
      <w:r>
        <w:rPr>
          <w:vertAlign w:val="subscript"/>
        </w:rPr>
        <w:t xml:space="preserve">с </w:t>
      </w:r>
      <w:proofErr w:type="gramStart"/>
      <w:r>
        <w:t>=</w:t>
      </w:r>
      <w:r w:rsidR="00B176AD">
        <w:rPr>
          <w:position w:val="-34"/>
        </w:rPr>
        <w:object w:dxaOrig="1160" w:dyaOrig="780">
          <v:shape id="_x0000_i1028" type="#_x0000_t75" style="width:54.2pt;height:35.65pt" o:ole="" fillcolor="window">
            <v:imagedata r:id="rId13" o:title=""/>
          </v:shape>
          <o:OLEObject Type="Embed" ProgID="Equation.3" ShapeID="_x0000_i1028" DrawAspect="Content" ObjectID="_1693296090" r:id="rId14"/>
        </w:object>
      </w:r>
      <w:r>
        <w:t xml:space="preserve"> ,</w:t>
      </w:r>
      <w:proofErr w:type="gramEnd"/>
      <w:r>
        <w:t xml:space="preserve"> </w:t>
      </w:r>
      <w:proofErr w:type="spellStart"/>
      <w:r>
        <w:t>Кn</w:t>
      </w:r>
      <w:proofErr w:type="spellEnd"/>
      <w:r>
        <w:t xml:space="preserve"> - отсрочка платежа по части поставляемых материалов n (если предоплата, то </w:t>
      </w:r>
      <w:proofErr w:type="spellStart"/>
      <w:r>
        <w:t>Кn</w:t>
      </w:r>
      <w:proofErr w:type="spellEnd"/>
      <w:r>
        <w:t xml:space="preserve">=0), </w:t>
      </w:r>
      <w:proofErr w:type="spellStart"/>
      <w:r>
        <w:t>Зn</w:t>
      </w:r>
      <w:proofErr w:type="spellEnd"/>
      <w:r>
        <w:t xml:space="preserve"> - затраты, приходящиеся на эту часть.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6" w:firstLine="567"/>
        <w:jc w:val="both"/>
      </w:pPr>
      <w:r>
        <w:t xml:space="preserve"> задолженность по оплате труда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Нормируется периодичность выплаты заработной платы в месяц (один или два раза).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  <w:jc w:val="both"/>
      </w:pPr>
      <w:r>
        <w:t xml:space="preserve"> прочие текущие пассивы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Сюда относятся статьи текущих пассивов, не нашедшие отражения выше. Описываются произвольным образом, сопровождаются подробными комментариями к данной таблице.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rPr>
          <w:b/>
          <w:bCs/>
        </w:rPr>
        <w:t>Таблица 9. КАПИТАЛЬНЫЕ ЗАТРАТЫ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Таблица предназначена для описания капитальных затрат, которые необходимо осуществить для того, чтобы выйти на расчётную мощность производства</w:t>
      </w:r>
      <w:r>
        <w:rPr>
          <w:rStyle w:val="a6"/>
        </w:rPr>
        <w:footnoteReference w:id="6"/>
      </w:r>
      <w:r>
        <w:t>. Если проект находится в стадии реализации, то есть часть инвестиционных затрат уже понесена, то в данной таблице указывается лишь оставшаяся часть капитальных затрат. Осуществлённые капитальные вложения описываются в приложении к предоставляемому балансу предприятия</w:t>
      </w:r>
      <w:r>
        <w:rPr>
          <w:rStyle w:val="a6"/>
        </w:rPr>
        <w:footnoteReference w:id="7"/>
      </w:r>
      <w:r>
        <w:t xml:space="preserve">. 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В этой же таблице указывается норма амортизационных отчислений (в соответствие с действующими нормативами) по каждой из статей капитальных затрат.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Номер интервала ввода в действие соответствует порядковому номеру того интервала планирования, в котором начинается использование оборудования</w:t>
      </w:r>
      <w:r>
        <w:rPr>
          <w:rStyle w:val="a6"/>
        </w:rPr>
        <w:footnoteReference w:id="8"/>
      </w:r>
      <w:r>
        <w:t xml:space="preserve">, здания, сооружения и т. п. (ставится на баланс в разделе основные средства либо нематериальные активы и начинает амортизироваться).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Для удобства представления данных капитальные затраты условно разбиты на ряд категорий: строительно-монтажные работы (СМР), приобретение оборудования, прочие капитальные затраты.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В составе строительно-монтажные работ указываются работы, выполняемые подрядным способом либо по контрактам с подрядчиками (контракты или проекты контрактов прилагаются).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Контракты на приобретение оборудования (проекты контрактов) также должны быть приложены к данным таблицам.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К прочим капитальным вложениям относится: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проектно-изыскательские работы 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приобретение земельных участков и объектов природопользования 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приобретение зданий, сооружений, объектов транспортного хозяйства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приобретение нематериальных активов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  <w:rPr>
          <w:u w:val="single"/>
        </w:rPr>
      </w:pPr>
      <w:r>
        <w:t>Общая стоимость наименований статей капитальных затрат указывается так, как это будет в дальнейшем отражено в балансе. Осуществляемые капитальные вложения, приобретаемые основные средства, нематериальные активы, малоценные и быстроизнашивающиеся предметы, хозяйственные материалы учитываются без НДС. Отнесение НДС на расходы по основным средствам, нематериальным активам, малоценным и быстроизнашивающимся предметам производится при их вводе в эксплуатацию. НДС по хозяйственным материалам относится на расходы по мере отнесения на расходы стоимости хозяйственных материалов.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График осуществления строительных работ, оплаты оборудования</w:t>
      </w:r>
      <w:r>
        <w:rPr>
          <w:rStyle w:val="a6"/>
        </w:rPr>
        <w:footnoteReference w:id="9"/>
      </w:r>
      <w:r>
        <w:t xml:space="preserve"> и пр. задаётся по интервалам планирования (объём расходов в течение данного интервала планирования). Допускается задавать этот график в процентах от общей стоимости оборудования (от общего объёма строительных работ).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lastRenderedPageBreak/>
        <w:t>Изначально таблица расчерчена на 8 интервалов планирования. При необходимости её следует расширить.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</w:p>
    <w:p w:rsidR="002F5AC6" w:rsidRDefault="002F5AC6">
      <w:pPr>
        <w:pStyle w:val="a5"/>
        <w:numPr>
          <w:ilvl w:val="12"/>
          <w:numId w:val="0"/>
        </w:numPr>
        <w:ind w:firstLine="567"/>
      </w:pPr>
      <w:r>
        <w:rPr>
          <w:b/>
          <w:bCs/>
        </w:rPr>
        <w:t>Таблица 10. ЛИЗИНГ ОСНОВНЫХ СРЕДСТВ</w:t>
      </w:r>
    </w:p>
    <w:p w:rsidR="002F5AC6" w:rsidRDefault="002F5AC6">
      <w:pPr>
        <w:pStyle w:val="a5"/>
        <w:numPr>
          <w:ilvl w:val="12"/>
          <w:numId w:val="0"/>
        </w:numPr>
        <w:ind w:firstLine="567"/>
      </w:pP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Данная табличная форма используется в тех случаях, когда проект осуществляется с участием лизинговой компании. Возможно заполнение таблицы в двух режимах: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договор лизинга уже заключён, проект предоставляет лизингополучатель. 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В этом случае допускается заполнять только итоговую строку данной таблицы.</w:t>
      </w:r>
    </w:p>
    <w:p w:rsidR="002F5AC6" w:rsidRDefault="002F5AC6">
      <w:pPr>
        <w:pStyle w:val="a5"/>
        <w:numPr>
          <w:ilvl w:val="0"/>
          <w:numId w:val="2"/>
        </w:numPr>
        <w:ind w:left="1020" w:firstLine="567"/>
        <w:jc w:val="both"/>
      </w:pPr>
      <w:r>
        <w:t xml:space="preserve"> договор лизинга находится в стадии проработки (согласования) или проект представляет лизингодатель. В этом случае необходимо расписать структуру лизингового платежа.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Таблица содержит одно наименование вида оборудования. Если в проекте предполагается наличие договоров лизинга с различными условиями по нескольким видам оборудования, то данная табличная форма копируется нужное число раз. Изначально таблица расчерчена на 16 интервалов планирования. При необходимости её следует расширить.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Следует указать о каком виде лизинга идёт речь</w:t>
      </w:r>
      <w:r>
        <w:rPr>
          <w:rStyle w:val="a6"/>
        </w:rPr>
        <w:footnoteReference w:id="10"/>
      </w:r>
      <w:r>
        <w:t xml:space="preserve"> оперативном (оборудование, по окончанию договора лизинга, возвращается лизингодателю) или финансовом (оборудование остаётся у лизингополучателя).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Данную табличную форму можно заполнять в той валюте, в которой заключается договор лизинга (валюта, если это не </w:t>
      </w:r>
      <w:proofErr w:type="spellStart"/>
      <w:r>
        <w:t>USD</w:t>
      </w:r>
      <w:proofErr w:type="spellEnd"/>
      <w:r>
        <w:t>, указывается дополнительно).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>Как правило лизинговый платёж состоит из погашения стоимости оборудования, сдаваемого в лизинг и лизингового платежа. Иногда в общую сумму лизингового платежа включают также и прочие платежи - комиссии, услуги третьих лиц, налоги и т. п.</w:t>
      </w:r>
    </w:p>
    <w:p w:rsidR="002F5AC6" w:rsidRDefault="002F5AC6">
      <w:pPr>
        <w:pStyle w:val="a5"/>
        <w:numPr>
          <w:ilvl w:val="12"/>
          <w:numId w:val="0"/>
        </w:numPr>
        <w:ind w:firstLine="567"/>
        <w:jc w:val="both"/>
      </w:pPr>
      <w:r>
        <w:t xml:space="preserve">Стоимость оборудования указывается без НДС, но с учётом всех таможенных платежей. Стоимость работ по монтажу оборудования может относится, в зависимости от договора с лизинговой компанией, как к этой, так и к предыдущей таблице.  По интервалам </w:t>
      </w:r>
      <w:proofErr w:type="gramStart"/>
      <w:r>
        <w:t>расписывается  планируемый</w:t>
      </w:r>
      <w:proofErr w:type="gramEnd"/>
      <w:r>
        <w:t xml:space="preserve"> график погашения стоимости оборудования (в процентах от стоимости или в денежных единицах). При этом, если лизингополучатель уплачивает аванс в счёт лизингового платежа, то указывается общая сумма аванса (без НДС) и выплата аванса по интервалам планирования</w:t>
      </w:r>
      <w:r>
        <w:rPr>
          <w:rStyle w:val="a6"/>
        </w:rPr>
        <w:footnoteReference w:id="11"/>
      </w:r>
      <w:r>
        <w:t>. Если, в течение срока действия договора лизинга, погашается не вся стоимость оборудования, то необходимо указать величину остаточной стоимости оборудования</w:t>
      </w:r>
      <w:r>
        <w:rPr>
          <w:rStyle w:val="a6"/>
        </w:rPr>
        <w:footnoteReference w:id="12"/>
      </w:r>
      <w:r>
        <w:t xml:space="preserve">. Тогда погашение стоимости оборудования по интервалам планирования приводится за вычетом величины аванса и остаточной </w:t>
      </w:r>
      <w:proofErr w:type="gramStart"/>
      <w:r>
        <w:t>стоимости .</w:t>
      </w:r>
      <w:proofErr w:type="gramEnd"/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Срок лизинга - период от начала начисления лизинговых платежей до момента погашения полной стоимости оборудования (выкупа или возврата при оперативном лизинге оборудования по остаточной стоимости). </w:t>
      </w:r>
      <w:proofErr w:type="gramStart"/>
      <w:r>
        <w:t>Иными словами</w:t>
      </w:r>
      <w:proofErr w:type="gramEnd"/>
      <w:r>
        <w:t xml:space="preserve"> это период, в течение которого начисляются проценты лизингодателю. Как правило, начало этого периода приходится на интервал ввода в действие оборудования. Иное оговаривается дополнительно в примечаниях к данной таблице.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Стоимость услуг лизинговой компании измеряется лизинговым процентом. Указывается величина лизингового платежа (годовая номинальная ставка). Период начисления платежа может быть указан в примечаниях к данной таблице.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rPr>
          <w:b/>
          <w:bCs/>
        </w:rPr>
        <w:t>Таблица 11. ПЛАНИРУЕМЫЕ ИСТОЧНИКИ ФИНАНСИРОВАНИЯ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</w:pP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В данной таблице указываются привлекаемые по проекту денежные средства для покрытия инвестиционных затрат (капитальных затрат и прироста потребности в оборотном капитале).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proofErr w:type="gramStart"/>
      <w:r>
        <w:t>Значения  данной</w:t>
      </w:r>
      <w:proofErr w:type="gramEnd"/>
      <w:r>
        <w:t xml:space="preserve"> табличной формы можно заполнять в той валюте, в которой осуществляется привлечение ресурсов, заключаются кредитные договоры (валюта, если это не </w:t>
      </w:r>
      <w:proofErr w:type="spellStart"/>
      <w:r>
        <w:t>USD</w:t>
      </w:r>
      <w:proofErr w:type="spellEnd"/>
      <w:r>
        <w:t>, указывается дополнительно).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 xml:space="preserve">Источники финансирования проекта можно разделить на две категории: 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  <w:jc w:val="both"/>
      </w:pPr>
      <w:r>
        <w:t xml:space="preserve"> собственные средства держателя проекта (увеличение собственного капитала)</w:t>
      </w:r>
    </w:p>
    <w:p w:rsidR="002F5AC6" w:rsidRDefault="002F5AC6">
      <w:pPr>
        <w:pStyle w:val="a5"/>
        <w:numPr>
          <w:ilvl w:val="0"/>
          <w:numId w:val="2"/>
        </w:numPr>
        <w:tabs>
          <w:tab w:val="left" w:pos="6379"/>
          <w:tab w:val="right" w:leader="dot" w:pos="8364"/>
        </w:tabs>
        <w:ind w:left="1020" w:right="-8" w:firstLine="567"/>
        <w:jc w:val="both"/>
      </w:pPr>
      <w:r>
        <w:t xml:space="preserve"> заёмные средства (привлечение кредитов)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lastRenderedPageBreak/>
        <w:t>Под собственными понимаются средства, вкладываемые учредителями, акционерами в уставной капитал организации, осуществляющей данный инвестиционный проект. Если предполагается финансировать проект из прибыли, получаемой от других, не связанных с данным инвестиционным проектом источников, то необходимо скопировать и отдельно заполнить формы подготовки исходных данных для действующего производства</w:t>
      </w:r>
      <w:r>
        <w:rPr>
          <w:rStyle w:val="a6"/>
        </w:rPr>
        <w:footnoteReference w:id="13"/>
      </w:r>
      <w:r>
        <w:t>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Под заёмными понимаются средства, привлекаемые на возвратной основе. Кредиты банков разделяются по цели использования на кредиты, взятые на пополнение оборотных средств и на инвестиционные цели.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По интервалам планирования вносится график увеличения задолженности (без учёта капитализации процентов) по каждому кредиту, с учётом цели использования.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  <w:r>
        <w:t>Стоимость услуг кредитного учреждения измеряется процентом по кредиту. Указывается величина (годовая номинальная ставка) и период начисления процентов.</w:t>
      </w:r>
    </w:p>
    <w:p w:rsidR="002F5AC6" w:rsidRDefault="002F5AC6">
      <w:pPr>
        <w:pStyle w:val="a5"/>
        <w:numPr>
          <w:ilvl w:val="12"/>
          <w:numId w:val="0"/>
        </w:numPr>
        <w:tabs>
          <w:tab w:val="left" w:pos="6379"/>
          <w:tab w:val="right" w:leader="dot" w:pos="8364"/>
        </w:tabs>
        <w:ind w:right="-8" w:firstLine="567"/>
        <w:jc w:val="both"/>
      </w:pPr>
    </w:p>
    <w:p w:rsidR="002F5AC6" w:rsidRDefault="002F5AC6"/>
    <w:sectPr w:rsidR="002F5AC6" w:rsidSect="008F2F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C0" w:rsidRDefault="00BD34C0">
      <w:r>
        <w:separator/>
      </w:r>
    </w:p>
  </w:endnote>
  <w:endnote w:type="continuationSeparator" w:id="0">
    <w:p w:rsidR="00BD34C0" w:rsidRDefault="00BD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F" w:rsidRDefault="008F2F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C6" w:rsidRDefault="002F5507">
    <w:pPr>
      <w:pStyle w:val="ac"/>
      <w:framePr w:wrap="auto" w:vAnchor="text" w:hAnchor="margin" w:xAlign="right" w:y="1"/>
      <w:rPr>
        <w:rStyle w:val="ab"/>
      </w:rPr>
    </w:pPr>
    <w:r>
      <w:rPr>
        <w:rStyle w:val="ab"/>
        <w:noProof/>
      </w:rPr>
      <w:drawing>
        <wp:inline distT="0" distB="0" distL="0" distR="0">
          <wp:extent cx="9526" cy="9526"/>
          <wp:effectExtent l="0" t="0" r="0" b="0"/>
          <wp:docPr id="2" name="Рисунок 2" descr="http://AD0E3EA36B82E4D20894B6EA545712B2.dms.sberbank.ru/AD0E3EA36B82E4D20894B6EA545712B2-3ADEF42D530ADE0AC5F9C3DF59DF7ECC-7C99387B868A2D1ED9F1EB618242790F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D0E3EA36B82E4D20894B6EA545712B2.dms.sberbank.ru/AD0E3EA36B82E4D20894B6EA545712B2-3ADEF42D530ADE0AC5F9C3DF59DF7ECC-7C99387B868A2D1ED9F1EB618242790F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6" cy="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5AC6">
      <w:rPr>
        <w:rStyle w:val="ab"/>
      </w:rPr>
      <w:fldChar w:fldCharType="begin"/>
    </w:r>
    <w:r w:rsidR="002F5AC6">
      <w:rPr>
        <w:rStyle w:val="ab"/>
      </w:rPr>
      <w:instrText xml:space="preserve">PAGE  </w:instrText>
    </w:r>
    <w:r w:rsidR="002F5AC6">
      <w:rPr>
        <w:rStyle w:val="ab"/>
      </w:rPr>
      <w:fldChar w:fldCharType="separate"/>
    </w:r>
    <w:r w:rsidR="00D47C59">
      <w:rPr>
        <w:rStyle w:val="ab"/>
        <w:noProof/>
      </w:rPr>
      <w:t>95</w:t>
    </w:r>
    <w:r w:rsidR="002F5AC6">
      <w:rPr>
        <w:rStyle w:val="ab"/>
      </w:rPr>
      <w:fldChar w:fldCharType="end"/>
    </w:r>
  </w:p>
  <w:p w:rsidR="002F5AC6" w:rsidRDefault="002F5AC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F" w:rsidRDefault="008F2F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C0" w:rsidRDefault="00BD34C0">
      <w:r>
        <w:separator/>
      </w:r>
    </w:p>
  </w:footnote>
  <w:footnote w:type="continuationSeparator" w:id="0">
    <w:p w:rsidR="00BD34C0" w:rsidRDefault="00BD34C0">
      <w:r>
        <w:continuationSeparator/>
      </w:r>
    </w:p>
  </w:footnote>
  <w:footnote w:id="1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Имеется в виду “физическое” вложение средств, то есть непосредственно строительство, приобретение, монтаж и пуск оборудования (от оплаты аванса до даты сдачи в эксплуатацию). </w:t>
      </w:r>
      <w:proofErr w:type="gramStart"/>
      <w:r>
        <w:t>Иными словами</w:t>
      </w:r>
      <w:proofErr w:type="gramEnd"/>
      <w:r>
        <w:t xml:space="preserve"> за окончание инвестиционной фазы проекта принимается дата пуска последнего установленного оборудования.</w:t>
      </w:r>
    </w:p>
  </w:footnote>
  <w:footnote w:id="2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В отдельных случаях допускается задавать объём производства в денежном выражении.</w:t>
      </w:r>
    </w:p>
  </w:footnote>
  <w:footnote w:id="3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Не следует, как это иногда бывает принято, включать часть расходов по оплате труда в накладные расходы, а также, например, в расходы на обслуживание технологического оборудования. Это может лишь осложнить анализ проекта. </w:t>
      </w:r>
    </w:p>
  </w:footnote>
  <w:footnote w:id="4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В любом случае требуется указать численность персонала.</w:t>
      </w:r>
    </w:p>
  </w:footnote>
  <w:footnote w:id="5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База исчисления статьи накладных расходов должна соответствовать её экономическому смыслу. Например, расходы на содержание склада пропорциональны величине запасов, сбытовые расходы зависят от объёма реализации и т. п.</w:t>
      </w:r>
    </w:p>
  </w:footnote>
  <w:footnote w:id="6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Описываются все необходимые расходы, вне зависимости от источников финансирования.</w:t>
      </w:r>
    </w:p>
  </w:footnote>
  <w:footnote w:id="7">
    <w:p w:rsidR="00000000" w:rsidRDefault="002F5AC6">
      <w:pPr>
        <w:pStyle w:val="a9"/>
        <w:numPr>
          <w:ilvl w:val="12"/>
          <w:numId w:val="0"/>
        </w:numPr>
        <w:jc w:val="both"/>
      </w:pPr>
      <w:r>
        <w:rPr>
          <w:rStyle w:val="a6"/>
        </w:rPr>
        <w:footnoteRef/>
      </w:r>
      <w:r>
        <w:t xml:space="preserve"> Если он не актуален, то также и в дополнении к нему (описании изменений, которые произошли в балансе с даты отчёта по дату заполнения данных табличных форм).</w:t>
      </w:r>
    </w:p>
  </w:footnote>
  <w:footnote w:id="8">
    <w:p w:rsidR="00000000" w:rsidRDefault="002F5AC6">
      <w:pPr>
        <w:pStyle w:val="a9"/>
        <w:numPr>
          <w:ilvl w:val="12"/>
          <w:numId w:val="0"/>
        </w:numPr>
        <w:jc w:val="both"/>
      </w:pPr>
      <w:r>
        <w:rPr>
          <w:rStyle w:val="a6"/>
        </w:rPr>
        <w:footnoteRef/>
      </w:r>
      <w:r>
        <w:t xml:space="preserve"> Относится к началу интервала.</w:t>
      </w:r>
    </w:p>
  </w:footnote>
  <w:footnote w:id="9">
    <w:p w:rsidR="002F5AC6" w:rsidRDefault="002F5AC6">
      <w:pPr>
        <w:pStyle w:val="a9"/>
        <w:numPr>
          <w:ilvl w:val="12"/>
          <w:numId w:val="0"/>
        </w:numPr>
        <w:jc w:val="both"/>
      </w:pPr>
      <w:r>
        <w:rPr>
          <w:rStyle w:val="a6"/>
        </w:rPr>
        <w:footnoteRef/>
      </w:r>
      <w:r>
        <w:t xml:space="preserve"> Не следует путать рассрочку платежа за поставку оборудования с товарным кредитом. В случае рассрочки платежа сумма, на которую увеличивается вследствие предоставления отсрочки стоимость оборудования, никак не выделяется из общей стоимости поставляемого оборудования. Оборудование ставится на баланс в момент поставки. Разница, между контрактной стоимостью оборудования (с учётом платы за отсрочку) и оплаченной поставщику частью описывается как аванс поставщика и списывается по мере погашения долга перед ним.</w:t>
      </w:r>
    </w:p>
    <w:p w:rsidR="00000000" w:rsidRDefault="002F5AC6">
      <w:pPr>
        <w:pStyle w:val="a9"/>
        <w:numPr>
          <w:ilvl w:val="12"/>
          <w:numId w:val="0"/>
        </w:numPr>
        <w:ind w:firstLine="284"/>
        <w:jc w:val="both"/>
      </w:pPr>
      <w:r>
        <w:t>При товарном кредите возникает задолженность перед поставщиком по уплате основного долга (в сумме равной разнице между контрактной стоимостью оборудования (без учёта стоимости кредита) и оплаченной поставщику части) и по оплате процентов. Проценты, уплачиваемые в период использования оборудования, не влияют на его балансовую стоимость. Платятся из прибыли. Условия товарного кредита описываются в таблице 11.</w:t>
      </w:r>
    </w:p>
  </w:footnote>
  <w:footnote w:id="10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Отметить соответствующий квадрат следующим </w:t>
      </w:r>
      <w:proofErr w:type="gramStart"/>
      <w:r>
        <w:t xml:space="preserve">образом:   </w:t>
      </w:r>
      <w:proofErr w:type="gramEnd"/>
      <w:r>
        <w:t xml:space="preserve"> </w:t>
      </w:r>
      <w:r>
        <w:sym w:font="Courier New" w:char="0076"/>
      </w:r>
    </w:p>
  </w:footnote>
  <w:footnote w:id="11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До ввода оборудования в действие.</w:t>
      </w:r>
    </w:p>
  </w:footnote>
  <w:footnote w:id="12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 Лизингополучатель, по истечению срока действия договора, либо выкупает оборудование по остаточной </w:t>
      </w:r>
      <w:proofErr w:type="gramStart"/>
      <w:r>
        <w:t>стоимости</w:t>
      </w:r>
      <w:proofErr w:type="gramEnd"/>
      <w:r>
        <w:t xml:space="preserve"> либо возвращает его лизингодателю.</w:t>
      </w:r>
    </w:p>
  </w:footnote>
  <w:footnote w:id="13">
    <w:p w:rsidR="00000000" w:rsidRDefault="002F5AC6">
      <w:pPr>
        <w:pStyle w:val="a9"/>
        <w:numPr>
          <w:ilvl w:val="12"/>
          <w:numId w:val="0"/>
        </w:numPr>
      </w:pPr>
      <w:r>
        <w:rPr>
          <w:rStyle w:val="a6"/>
        </w:rPr>
        <w:footnoteRef/>
      </w:r>
      <w:r>
        <w:t xml:space="preserve"> Где, по той же схеме, что и для инвестиционного проекта, описывается производство, генерирующее поток денежных средств для финансирования данного проекта. К таблицам прилагаются балансы и отчёты о финансовых результатах поквартально за два последних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F" w:rsidRDefault="008F2F3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F" w:rsidRDefault="008F2F3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F" w:rsidRDefault="008F2F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3"/>
    <w:rsid w:val="001E6308"/>
    <w:rsid w:val="002F5507"/>
    <w:rsid w:val="002F5AC6"/>
    <w:rsid w:val="00396292"/>
    <w:rsid w:val="003B1DC7"/>
    <w:rsid w:val="00474C4A"/>
    <w:rsid w:val="007E3BC9"/>
    <w:rsid w:val="008F2F3F"/>
    <w:rsid w:val="00957467"/>
    <w:rsid w:val="00A31D23"/>
    <w:rsid w:val="00A53AA0"/>
    <w:rsid w:val="00AC2FD3"/>
    <w:rsid w:val="00B176AD"/>
    <w:rsid w:val="00BD34C0"/>
    <w:rsid w:val="00C61DB7"/>
    <w:rsid w:val="00D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F198FA-7A00-4571-9782-F23A1D2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6">
    <w:name w:val="Ссылка на сноску"/>
    <w:basedOn w:val="a7"/>
    <w:uiPriority w:val="99"/>
    <w:rPr>
      <w:rFonts w:cs="Times New Roman"/>
      <w:vertAlign w:val="superscript"/>
    </w:rPr>
  </w:style>
  <w:style w:type="character" w:customStyle="1" w:styleId="a7">
    <w:name w:val="Шрифт абзаца по умолчанию"/>
    <w:uiPriority w:val="99"/>
  </w:style>
  <w:style w:type="character" w:customStyle="1" w:styleId="a8">
    <w:name w:val="Ссылка на примечание"/>
    <w:basedOn w:val="a7"/>
    <w:uiPriority w:val="99"/>
    <w:rPr>
      <w:rFonts w:cs="Times New Roman"/>
      <w:sz w:val="16"/>
      <w:szCs w:val="16"/>
    </w:rPr>
  </w:style>
  <w:style w:type="paragraph" w:styleId="a9">
    <w:name w:val="footnote text"/>
    <w:basedOn w:val="a"/>
    <w:link w:val="aa"/>
    <w:uiPriority w:val="99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7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7E3B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D0E3EA36B82E4D20894B6EA545712B2.dms.sberbank.ru/AD0E3EA36B82E4D20894B6EA545712B2-3ADEF42D530ADE0AC5F9C3DF59DF7ECC-7C99387B868A2D1ED9F1EB61824279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3190</Words>
  <Characters>18408</Characters>
  <Application>Microsoft Office Word</Application>
  <DocSecurity>0</DocSecurity>
  <Lines>9204</Lines>
  <Paragraphs>1799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3</cp:revision>
  <cp:lastPrinted>2010-04-26T11:38:00Z</cp:lastPrinted>
  <dcterms:created xsi:type="dcterms:W3CDTF">2021-09-16T08:14:00Z</dcterms:created>
  <dcterms:modified xsi:type="dcterms:W3CDTF">2021-09-16T08:15:00Z</dcterms:modified>
</cp:coreProperties>
</file>